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630492" w14:paraId="0EAEC9D3"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630492" w14:paraId="668BB4FF" w14:textId="77777777">
              <w:trPr>
                <w:trHeight w:hRule="exact" w:val="4320"/>
              </w:trPr>
              <w:tc>
                <w:tcPr>
                  <w:tcW w:w="2500" w:type="pct"/>
                  <w:shd w:val="clear" w:color="auto" w:fill="4472C4" w:themeFill="accent1"/>
                  <w:vAlign w:val="center"/>
                </w:tcPr>
                <w:p w14:paraId="4F176630" w14:textId="55A9850A" w:rsidR="00630492" w:rsidRDefault="003B1A0A" w:rsidP="003B1A0A">
                  <w:pPr>
                    <w:pStyle w:val="Title"/>
                  </w:pPr>
                  <w:r>
                    <w:t xml:space="preserve">NBBOA </w:t>
                  </w:r>
                  <w:r w:rsidR="00862977">
                    <w:t>Maintenance Course</w:t>
                  </w:r>
                  <w:r>
                    <w:t xml:space="preserve"> 2018</w:t>
                  </w:r>
                </w:p>
              </w:tc>
              <w:tc>
                <w:tcPr>
                  <w:tcW w:w="2500" w:type="pct"/>
                </w:tcPr>
                <w:p w14:paraId="4FB825B7" w14:textId="77777777" w:rsidR="00630492" w:rsidRDefault="008E1B67">
                  <w:r>
                    <w:rPr>
                      <w:noProof/>
                    </w:rPr>
                    <w:drawing>
                      <wp:inline distT="0" distB="0" distL="0" distR="0" wp14:anchorId="099D1579" wp14:editId="6A4D8305">
                        <wp:extent cx="4189215" cy="2745740"/>
                        <wp:effectExtent l="0" t="0" r="1905" b="0"/>
                        <wp:docPr id="4" name="Picture 4" descr="/Users/meganstewart/Desktop/rabais-nuitee-sejour-berges-peche-nouveau-brunswick-hotel-rodd-miramichi-river-14217272-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ganstewart/Desktop/rabais-nuitee-sejour-berges-peche-nouveau-brunswick-hotel-rodd-miramichi-river-14217272-regul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7740" cy="2751328"/>
                                </a:xfrm>
                                <a:prstGeom prst="rect">
                                  <a:avLst/>
                                </a:prstGeom>
                                <a:noFill/>
                                <a:ln>
                                  <a:noFill/>
                                </a:ln>
                              </pic:spPr>
                            </pic:pic>
                          </a:graphicData>
                        </a:graphic>
                      </wp:inline>
                    </w:drawing>
                  </w:r>
                </w:p>
              </w:tc>
            </w:tr>
            <w:tr w:rsidR="00630492" w14:paraId="087829EB" w14:textId="77777777">
              <w:trPr>
                <w:trHeight w:hRule="exact" w:val="4320"/>
              </w:trPr>
              <w:tc>
                <w:tcPr>
                  <w:tcW w:w="2500" w:type="pct"/>
                </w:tcPr>
                <w:p w14:paraId="18AB7A79" w14:textId="77777777" w:rsidR="00630492" w:rsidRDefault="006F06F5">
                  <w:r>
                    <w:rPr>
                      <w:noProof/>
                    </w:rPr>
                    <w:drawing>
                      <wp:inline distT="0" distB="0" distL="0" distR="0" wp14:anchorId="3AA83C45" wp14:editId="631CFAA8">
                        <wp:extent cx="7396850" cy="2669540"/>
                        <wp:effectExtent l="0" t="0" r="0" b="0"/>
                        <wp:docPr id="9" name="Picture 9" descr="/Users/meganstewart/Desktop/Building-Insp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eganstewart/Desktop/Building-Inspectio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7308" cy="2676923"/>
                                </a:xfrm>
                                <a:prstGeom prst="rect">
                                  <a:avLst/>
                                </a:prstGeom>
                                <a:noFill/>
                                <a:ln>
                                  <a:noFill/>
                                </a:ln>
                              </pic:spPr>
                            </pic:pic>
                          </a:graphicData>
                        </a:graphic>
                      </wp:inline>
                    </w:drawing>
                  </w:r>
                </w:p>
              </w:tc>
              <w:tc>
                <w:tcPr>
                  <w:tcW w:w="2500" w:type="pct"/>
                </w:tcPr>
                <w:p w14:paraId="058633A6" w14:textId="77777777" w:rsidR="00630492" w:rsidRDefault="006F06F5">
                  <w:r>
                    <w:rPr>
                      <w:noProof/>
                    </w:rPr>
                    <w:drawing>
                      <wp:inline distT="0" distB="0" distL="0" distR="0" wp14:anchorId="69C8E5D5" wp14:editId="5B25FE4F">
                        <wp:extent cx="5612340" cy="2669540"/>
                        <wp:effectExtent l="0" t="0" r="1270" b="0"/>
                        <wp:docPr id="5" name="Picture 5" descr="/Users/meganstewart/Desktop/wha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ganstewart/Desktop/whar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2204" cy="2678988"/>
                                </a:xfrm>
                                <a:prstGeom prst="rect">
                                  <a:avLst/>
                                </a:prstGeom>
                                <a:noFill/>
                                <a:ln>
                                  <a:noFill/>
                                </a:ln>
                              </pic:spPr>
                            </pic:pic>
                          </a:graphicData>
                        </a:graphic>
                      </wp:inline>
                    </w:drawing>
                  </w:r>
                </w:p>
              </w:tc>
            </w:tr>
          </w:tbl>
          <w:p w14:paraId="04ECE235" w14:textId="77777777" w:rsidR="00630492" w:rsidRDefault="00630492"/>
        </w:tc>
      </w:tr>
      <w:tr w:rsidR="00630492" w14:paraId="04D86B44" w14:textId="77777777">
        <w:trPr>
          <w:trHeight w:hRule="exact" w:val="5400"/>
        </w:trPr>
        <w:tc>
          <w:tcPr>
            <w:tcW w:w="10800" w:type="dxa"/>
            <w:shd w:val="clear" w:color="auto" w:fill="A5A5A5" w:themeFill="accent3"/>
            <w:vAlign w:val="center"/>
          </w:tcPr>
          <w:p w14:paraId="30434AB7" w14:textId="77777777" w:rsidR="001D1BC4" w:rsidRDefault="001D1BC4" w:rsidP="001D1BC4">
            <w:pPr>
              <w:pStyle w:val="Subtitle"/>
              <w:jc w:val="center"/>
            </w:pPr>
            <w:r>
              <w:t>The Rodd Miramichi River</w:t>
            </w:r>
          </w:p>
          <w:p w14:paraId="20962087" w14:textId="77777777" w:rsidR="001D1BC4" w:rsidRPr="00B04EAE" w:rsidRDefault="001D1BC4" w:rsidP="001D1BC4">
            <w:pPr>
              <w:pStyle w:val="Subtitle"/>
              <w:jc w:val="center"/>
              <w:rPr>
                <w:sz w:val="32"/>
                <w:szCs w:val="32"/>
              </w:rPr>
            </w:pPr>
            <w:r w:rsidRPr="00B04EAE">
              <w:rPr>
                <w:sz w:val="28"/>
                <w:szCs w:val="28"/>
              </w:rPr>
              <w:t>(10am)</w:t>
            </w:r>
            <w:r w:rsidRPr="00614C7F">
              <w:rPr>
                <w:b/>
                <w:sz w:val="32"/>
                <w:szCs w:val="32"/>
              </w:rPr>
              <w:t xml:space="preserve"> </w:t>
            </w:r>
            <w:r w:rsidRPr="00B04EAE">
              <w:rPr>
                <w:sz w:val="32"/>
                <w:szCs w:val="32"/>
              </w:rPr>
              <w:t>Recognizing Risk &amp; Reducing Liability</w:t>
            </w:r>
          </w:p>
          <w:p w14:paraId="3A6AB0E9" w14:textId="77777777" w:rsidR="001D1BC4" w:rsidRPr="00B04EAE" w:rsidRDefault="001D1BC4" w:rsidP="001D1BC4">
            <w:pPr>
              <w:pStyle w:val="Subtitle"/>
              <w:jc w:val="center"/>
              <w:rPr>
                <w:sz w:val="32"/>
                <w:szCs w:val="32"/>
              </w:rPr>
            </w:pPr>
            <w:r w:rsidRPr="00B04EAE">
              <w:rPr>
                <w:sz w:val="28"/>
                <w:szCs w:val="28"/>
              </w:rPr>
              <w:t xml:space="preserve">(130pm) </w:t>
            </w:r>
            <w:r w:rsidRPr="00B04EAE">
              <w:rPr>
                <w:sz w:val="32"/>
                <w:szCs w:val="32"/>
              </w:rPr>
              <w:t>An Introduction to Building Science &amp; Energy Code Requirements in Existing Retrofits</w:t>
            </w:r>
          </w:p>
          <w:p w14:paraId="15129485" w14:textId="2A11BAA1" w:rsidR="00630492" w:rsidRDefault="001D1BC4" w:rsidP="001D1BC4">
            <w:pPr>
              <w:pStyle w:val="BlockText"/>
              <w:jc w:val="center"/>
            </w:pPr>
            <w:r w:rsidRPr="00B04EAE">
              <w:rPr>
                <w:b w:val="0"/>
                <w:sz w:val="28"/>
                <w:szCs w:val="28"/>
              </w:rPr>
              <w:t>April 25, 2018</w:t>
            </w:r>
          </w:p>
        </w:tc>
      </w:tr>
    </w:tbl>
    <w:p w14:paraId="7D97C4F9" w14:textId="77777777" w:rsidR="00630492" w:rsidRDefault="00B428D3">
      <w:r>
        <w:br w:type="page"/>
      </w:r>
    </w:p>
    <w:p w14:paraId="426C8A47" w14:textId="7CB4B110" w:rsidR="00630492" w:rsidRDefault="00D364A3" w:rsidP="00B766B9">
      <w:pPr>
        <w:pStyle w:val="Heading1"/>
        <w:pBdr>
          <w:bottom w:val="single" w:sz="4" w:space="17" w:color="4472C4" w:themeColor="accent1"/>
        </w:pBdr>
      </w:pPr>
      <w:r>
        <w:lastRenderedPageBreak/>
        <w:t>Meet Our</w:t>
      </w:r>
      <w:r w:rsidR="009758F2">
        <w:t xml:space="preserve"> Maintenance Course</w:t>
      </w:r>
      <w:r>
        <w:t xml:space="preserve"> S</w:t>
      </w:r>
      <w:r w:rsidR="006F06F5">
        <w:t xml:space="preserve">peakers </w:t>
      </w:r>
    </w:p>
    <w:p w14:paraId="3DA454C0" w14:textId="2E098224" w:rsidR="00630492" w:rsidRDefault="006C6A93">
      <w:r>
        <w:rPr>
          <w:noProof/>
        </w:rPr>
        <w:drawing>
          <wp:inline distT="0" distB="0" distL="0" distR="0" wp14:anchorId="3AA0A098" wp14:editId="620DE019">
            <wp:extent cx="2276475" cy="716194"/>
            <wp:effectExtent l="0" t="0" r="0" b="8255"/>
            <wp:docPr id="11" name="Picture 11" descr="/Users/meganstewar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meganstewart/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2621" cy="746442"/>
                    </a:xfrm>
                    <a:prstGeom prst="rect">
                      <a:avLst/>
                    </a:prstGeom>
                    <a:noFill/>
                    <a:ln>
                      <a:noFill/>
                    </a:ln>
                  </pic:spPr>
                </pic:pic>
              </a:graphicData>
            </a:graphic>
          </wp:inline>
        </w:drawing>
      </w:r>
    </w:p>
    <w:p w14:paraId="4E2524AA" w14:textId="122FCD05" w:rsidR="00B766B9" w:rsidRPr="00B766B9" w:rsidRDefault="00B766B9" w:rsidP="00B766B9">
      <w:pPr>
        <w:pStyle w:val="Heading2"/>
        <w:rPr>
          <w:sz w:val="22"/>
          <w:szCs w:val="22"/>
        </w:rPr>
      </w:pPr>
      <w:r w:rsidRPr="00B766B9">
        <w:rPr>
          <w:sz w:val="22"/>
          <w:szCs w:val="22"/>
        </w:rPr>
        <w:t xml:space="preserve">Recognizing Risk &amp; Reducing Liability </w:t>
      </w:r>
      <w:r w:rsidR="00552E3F">
        <w:rPr>
          <w:sz w:val="22"/>
          <w:szCs w:val="22"/>
        </w:rPr>
        <w:t>(April 25, 10am – 12 pm)</w:t>
      </w:r>
    </w:p>
    <w:p w14:paraId="64542A2F" w14:textId="77777777" w:rsidR="00630492" w:rsidRPr="00B766B9" w:rsidRDefault="00D364A3">
      <w:pPr>
        <w:pStyle w:val="Heading2"/>
        <w:rPr>
          <w:sz w:val="22"/>
          <w:szCs w:val="22"/>
        </w:rPr>
      </w:pPr>
      <w:r w:rsidRPr="00B766B9">
        <w:rPr>
          <w:sz w:val="22"/>
          <w:szCs w:val="22"/>
        </w:rPr>
        <w:t xml:space="preserve">Alison Orr, P. Eng., CBCO </w:t>
      </w:r>
    </w:p>
    <w:p w14:paraId="0BE3299D" w14:textId="77777777" w:rsidR="00630492" w:rsidRPr="00B766B9" w:rsidRDefault="00D364A3">
      <w:pPr>
        <w:rPr>
          <w:sz w:val="18"/>
          <w:szCs w:val="18"/>
        </w:rPr>
      </w:pPr>
      <w:r w:rsidRPr="00B766B9">
        <w:rPr>
          <w:sz w:val="18"/>
          <w:szCs w:val="18"/>
        </w:rPr>
        <w:t xml:space="preserve">Alison Orr is a designated Consulting Engineer and a Certified Building Code Official in the province of Ontario. She is a member of the Building Code Commission. After several years as a building inspector and building engineer with the City of Hamilton, in 1999, Alison joined an engineering consulting firm investigating the collapse, failure and loss of serviceability of buildings as well as evaluating buildings damaged by fire, impact and weather events. Alison’s particular area of specialty is municipal liability claims with respect to standard of care related to building inspections and plan examination. </w:t>
      </w:r>
    </w:p>
    <w:p w14:paraId="24C02C07" w14:textId="77777777" w:rsidR="00D364A3" w:rsidRPr="00B766B9" w:rsidRDefault="00D364A3" w:rsidP="00D364A3">
      <w:pPr>
        <w:pStyle w:val="Heading2"/>
        <w:rPr>
          <w:sz w:val="22"/>
          <w:szCs w:val="22"/>
        </w:rPr>
      </w:pPr>
      <w:r w:rsidRPr="00B766B9">
        <w:rPr>
          <w:sz w:val="22"/>
          <w:szCs w:val="22"/>
        </w:rPr>
        <w:t xml:space="preserve">Marianne Brown, P. Eng., CBCO </w:t>
      </w:r>
    </w:p>
    <w:p w14:paraId="7B65C0A9" w14:textId="18A70EEA" w:rsidR="00D364A3" w:rsidRPr="00B766B9" w:rsidRDefault="00D364A3">
      <w:pPr>
        <w:rPr>
          <w:sz w:val="18"/>
          <w:szCs w:val="18"/>
        </w:rPr>
      </w:pPr>
      <w:r w:rsidRPr="00B766B9">
        <w:rPr>
          <w:sz w:val="18"/>
          <w:szCs w:val="18"/>
        </w:rPr>
        <w:t xml:space="preserve">Marianne Brown is a designated Consulting Engineer and a Certified Building Code Official in the province of Ontario. During her 13 years with the City of Hamilton, Marianne held several positions including building inspector, building engineer, chief building engineer, and manager of building construction where she was responsible for a group of technical specialists who enforced the Ontario Building Code through plan examination and inspections. In 2007, Marianne joined an engineering consulting firm evaluating damaged buildings, bodily injury incidents and municipal liability </w:t>
      </w:r>
      <w:r w:rsidR="0022356E" w:rsidRPr="00B766B9">
        <w:rPr>
          <w:sz w:val="18"/>
          <w:szCs w:val="18"/>
        </w:rPr>
        <w:t>claims.</w:t>
      </w:r>
    </w:p>
    <w:p w14:paraId="38EB0261" w14:textId="392C4E8B" w:rsidR="009758F2" w:rsidRDefault="00B766B9" w:rsidP="00B766B9">
      <w:pPr>
        <w:pStyle w:val="Heading2"/>
      </w:pPr>
      <w:r>
        <w:rPr>
          <w:noProof/>
        </w:rPr>
        <w:drawing>
          <wp:inline distT="0" distB="0" distL="0" distR="0" wp14:anchorId="3BD5B644" wp14:editId="5EFBF0D0">
            <wp:extent cx="2409825" cy="83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5623" cy="851600"/>
                    </a:xfrm>
                    <a:prstGeom prst="rect">
                      <a:avLst/>
                    </a:prstGeom>
                    <a:noFill/>
                    <a:ln>
                      <a:noFill/>
                    </a:ln>
                  </pic:spPr>
                </pic:pic>
              </a:graphicData>
            </a:graphic>
          </wp:inline>
        </w:drawing>
      </w:r>
    </w:p>
    <w:p w14:paraId="73CE02AF" w14:textId="5BCB32A2" w:rsidR="00B766B9" w:rsidRPr="00B766B9" w:rsidRDefault="00B766B9" w:rsidP="00B766B9">
      <w:pPr>
        <w:pStyle w:val="Heading2"/>
        <w:rPr>
          <w:sz w:val="22"/>
          <w:szCs w:val="22"/>
        </w:rPr>
      </w:pPr>
      <w:r w:rsidRPr="00B766B9">
        <w:rPr>
          <w:sz w:val="22"/>
          <w:szCs w:val="22"/>
        </w:rPr>
        <w:t>An Introduction to Building Science &amp; Energy Code Requirements in Existing Retrofits</w:t>
      </w:r>
      <w:r w:rsidR="00552E3F">
        <w:rPr>
          <w:sz w:val="22"/>
          <w:szCs w:val="22"/>
        </w:rPr>
        <w:t xml:space="preserve"> (April 25, 1:30pm – 3:30pm)</w:t>
      </w:r>
    </w:p>
    <w:p w14:paraId="2AC722D9" w14:textId="77777777" w:rsidR="009758F2" w:rsidRPr="00B766B9" w:rsidRDefault="009758F2" w:rsidP="009758F2">
      <w:pPr>
        <w:pStyle w:val="Heading2"/>
        <w:rPr>
          <w:sz w:val="22"/>
          <w:szCs w:val="22"/>
        </w:rPr>
      </w:pPr>
      <w:r w:rsidRPr="00B766B9">
        <w:rPr>
          <w:sz w:val="22"/>
          <w:szCs w:val="22"/>
        </w:rPr>
        <w:t xml:space="preserve">Gord Cooke, P.Eng., President of Building Knowledge Canada Inc. </w:t>
      </w:r>
    </w:p>
    <w:p w14:paraId="0C41B7B8" w14:textId="01C2BA26" w:rsidR="00B766B9" w:rsidRPr="00B766B9" w:rsidRDefault="009758F2" w:rsidP="00B766B9">
      <w:pPr>
        <w:spacing w:after="0"/>
        <w:rPr>
          <w:rFonts w:eastAsia="Times New Roman" w:cs="Times New Roman"/>
          <w:color w:val="000000"/>
          <w:sz w:val="18"/>
          <w:szCs w:val="18"/>
          <w:shd w:val="clear" w:color="auto" w:fill="FFFFFF"/>
        </w:rPr>
      </w:pPr>
      <w:r w:rsidRPr="00B766B9">
        <w:rPr>
          <w:rFonts w:eastAsia="Times New Roman" w:cs="Times New Roman"/>
          <w:color w:val="000000"/>
          <w:sz w:val="18"/>
          <w:szCs w:val="18"/>
          <w:shd w:val="clear" w:color="auto" w:fill="FFFFFF"/>
        </w:rPr>
        <w:t>There are few professionals in Ontario that can match Gord Cooke’s broad knowledge of the inner workings of a house. Highly regarded in the Ontario homebuilding industry, Gord is a professional engineer, trainer, author, and industry consultant. For over 25 years, Gord has helped builders and HVAC contractors implement innovative technologies and build better homes. He is an effective and passionate building science educator and advocate for better building practices and energy efficiency.</w:t>
      </w:r>
    </w:p>
    <w:p w14:paraId="0242899B" w14:textId="266BEB72" w:rsidR="00B766B9" w:rsidRPr="00B766B9" w:rsidRDefault="00D91C09" w:rsidP="00B766B9">
      <w:pPr>
        <w:spacing w:line="240" w:lineRule="auto"/>
        <w:rPr>
          <w:rFonts w:asciiTheme="majorHAnsi" w:eastAsia="MS Gothic" w:hAnsiTheme="majorHAnsi" w:cs="Segoe UI Symbol"/>
          <w:color w:val="2F5496" w:themeColor="accent1" w:themeShade="BF"/>
          <w:sz w:val="24"/>
          <w:szCs w:val="24"/>
        </w:rPr>
      </w:pPr>
      <w:r>
        <w:rPr>
          <w:rFonts w:eastAsia="Times New Roman" w:cs="Times New Roman"/>
          <w:noProof/>
          <w:color w:val="000000"/>
          <w:sz w:val="18"/>
          <w:szCs w:val="18"/>
        </w:rPr>
        <mc:AlternateContent>
          <mc:Choice Requires="wps">
            <w:drawing>
              <wp:anchor distT="0" distB="0" distL="114300" distR="114300" simplePos="0" relativeHeight="251659264" behindDoc="0" locked="0" layoutInCell="1" allowOverlap="1" wp14:anchorId="421F9B04" wp14:editId="15344243">
                <wp:simplePos x="0" y="0"/>
                <wp:positionH relativeFrom="margin">
                  <wp:align>right</wp:align>
                </wp:positionH>
                <wp:positionV relativeFrom="paragraph">
                  <wp:posOffset>8255</wp:posOffset>
                </wp:positionV>
                <wp:extent cx="6934200" cy="1981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34200" cy="19812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C6C9A" id="Rectangle 3" o:spid="_x0000_s1026" style="position:absolute;margin-left:494.8pt;margin-top:.65pt;width:546pt;height:15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" filled="f" strokecolor="#4472c4 [3204]" strokeweight="2pt">
                <w10:wrap anchorx="margin"/>
              </v:rect>
            </w:pict>
          </mc:Fallback>
        </mc:AlternateContent>
      </w:r>
      <w:r w:rsidR="00B766B9" w:rsidRPr="00B766B9">
        <w:rPr>
          <w:rFonts w:asciiTheme="majorHAnsi" w:eastAsia="MS Gothic" w:hAnsiTheme="majorHAnsi" w:cs="Segoe UI Symbol"/>
          <w:color w:val="2F5496" w:themeColor="accent1" w:themeShade="BF"/>
          <w:sz w:val="24"/>
          <w:szCs w:val="24"/>
        </w:rPr>
        <w:t>Register Today</w:t>
      </w:r>
      <w:r w:rsidR="00B766B9">
        <w:rPr>
          <w:rFonts w:asciiTheme="majorHAnsi" w:eastAsia="MS Gothic" w:hAnsiTheme="majorHAnsi" w:cs="Segoe UI Symbol"/>
          <w:color w:val="2F5496" w:themeColor="accent1" w:themeShade="BF"/>
          <w:sz w:val="24"/>
          <w:szCs w:val="24"/>
        </w:rPr>
        <w:t>!</w:t>
      </w:r>
    </w:p>
    <w:p w14:paraId="76FBEC65" w14:textId="3ECC1F6D" w:rsidR="00B766B9" w:rsidRPr="00D91C09" w:rsidRDefault="00B766B9" w:rsidP="00B766B9">
      <w:pPr>
        <w:spacing w:line="240" w:lineRule="auto"/>
        <w:rPr>
          <w:sz w:val="16"/>
          <w:szCs w:val="16"/>
        </w:rPr>
      </w:pPr>
      <w:r w:rsidRPr="00D91C09">
        <w:rPr>
          <w:rFonts w:ascii="Segoe UI Symbol" w:eastAsia="MS Gothic" w:hAnsi="Segoe UI Symbol" w:cs="Segoe UI Symbol"/>
          <w:sz w:val="16"/>
          <w:szCs w:val="16"/>
        </w:rPr>
        <w:t>❑</w:t>
      </w:r>
      <w:r w:rsidRPr="00D91C09">
        <w:rPr>
          <w:sz w:val="16"/>
          <w:szCs w:val="16"/>
        </w:rPr>
        <w:t xml:space="preserve"> Members $200+HST ($230)     </w:t>
      </w:r>
      <w:r w:rsidRPr="00D91C09">
        <w:rPr>
          <w:rFonts w:ascii="Segoe UI Symbol" w:eastAsia="MS Gothic" w:hAnsi="Segoe UI Symbol" w:cs="Segoe UI Symbol"/>
          <w:sz w:val="16"/>
          <w:szCs w:val="16"/>
        </w:rPr>
        <w:t>❑</w:t>
      </w:r>
      <w:r w:rsidRPr="00D91C09">
        <w:rPr>
          <w:rFonts w:cs="Calibri"/>
          <w:sz w:val="16"/>
          <w:szCs w:val="16"/>
        </w:rPr>
        <w:t xml:space="preserve"> Non-memb</w:t>
      </w:r>
      <w:r w:rsidRPr="00D91C09">
        <w:rPr>
          <w:sz w:val="16"/>
          <w:szCs w:val="16"/>
        </w:rPr>
        <w:t>ers $</w:t>
      </w:r>
      <w:r w:rsidRPr="00D91C09">
        <w:rPr>
          <w:rFonts w:cs="Calibri"/>
          <w:sz w:val="16"/>
          <w:szCs w:val="16"/>
        </w:rPr>
        <w:t xml:space="preserve">250 </w:t>
      </w:r>
      <w:r w:rsidRPr="00D91C09">
        <w:rPr>
          <w:sz w:val="16"/>
          <w:szCs w:val="16"/>
        </w:rPr>
        <w:t>+HST ($287.50)</w:t>
      </w:r>
    </w:p>
    <w:p w14:paraId="4AC7E236" w14:textId="23AC6427" w:rsidR="00B766B9" w:rsidRPr="00D91C09" w:rsidRDefault="00B766B9" w:rsidP="00D91C09">
      <w:pPr>
        <w:spacing w:line="240" w:lineRule="auto"/>
        <w:rPr>
          <w:b/>
          <w:sz w:val="16"/>
          <w:szCs w:val="16"/>
        </w:rPr>
      </w:pPr>
      <w:r w:rsidRPr="00D91C09">
        <w:rPr>
          <w:b/>
          <w:sz w:val="16"/>
          <w:szCs w:val="16"/>
        </w:rPr>
        <w:t>Registration Information</w:t>
      </w:r>
    </w:p>
    <w:p w14:paraId="75A349A7" w14:textId="297507D5" w:rsidR="00B766B9" w:rsidRPr="00D91C09" w:rsidRDefault="00B766B9" w:rsidP="00D91C09">
      <w:pPr>
        <w:spacing w:line="240" w:lineRule="auto"/>
        <w:rPr>
          <w:sz w:val="16"/>
          <w:szCs w:val="16"/>
        </w:rPr>
      </w:pPr>
      <w:r w:rsidRPr="00D91C09">
        <w:rPr>
          <w:sz w:val="16"/>
          <w:szCs w:val="16"/>
        </w:rPr>
        <w:t>Name: _____________________________Email: ___________________________________________</w:t>
      </w:r>
      <w:r w:rsidR="00D91C09">
        <w:rPr>
          <w:sz w:val="16"/>
          <w:szCs w:val="16"/>
        </w:rPr>
        <w:t xml:space="preserve"> </w:t>
      </w:r>
      <w:r w:rsidR="00D91C09" w:rsidRPr="00D91C09">
        <w:rPr>
          <w:sz w:val="16"/>
          <w:szCs w:val="16"/>
        </w:rPr>
        <w:t>Company: __________________________</w:t>
      </w:r>
      <w:r w:rsidR="00D91C09">
        <w:rPr>
          <w:sz w:val="16"/>
          <w:szCs w:val="16"/>
        </w:rPr>
        <w:t>__________</w:t>
      </w:r>
    </w:p>
    <w:p w14:paraId="0186BCCC" w14:textId="77777777" w:rsidR="00D91C09" w:rsidRPr="00552E3F" w:rsidRDefault="00D91C09" w:rsidP="00D91C09">
      <w:pPr>
        <w:spacing w:line="240" w:lineRule="auto"/>
        <w:rPr>
          <w:b/>
          <w:sz w:val="16"/>
          <w:szCs w:val="16"/>
        </w:rPr>
      </w:pPr>
      <w:r w:rsidRPr="00552E3F">
        <w:rPr>
          <w:b/>
          <w:sz w:val="16"/>
          <w:szCs w:val="16"/>
        </w:rPr>
        <w:t xml:space="preserve">Payment info: </w:t>
      </w:r>
    </w:p>
    <w:p w14:paraId="300178B5" w14:textId="78B60882" w:rsidR="00D91C09" w:rsidRDefault="00D91C09" w:rsidP="00D91C09">
      <w:pPr>
        <w:spacing w:line="240" w:lineRule="auto"/>
        <w:rPr>
          <w:sz w:val="16"/>
          <w:szCs w:val="16"/>
        </w:rPr>
      </w:pPr>
      <w:r w:rsidRPr="00D91C09">
        <w:rPr>
          <w:sz w:val="16"/>
          <w:szCs w:val="16"/>
        </w:rPr>
        <w:t>Credit card number _________________________</w:t>
      </w:r>
      <w:r>
        <w:rPr>
          <w:sz w:val="16"/>
          <w:szCs w:val="16"/>
        </w:rPr>
        <w:t>____</w:t>
      </w:r>
      <w:r w:rsidRPr="00D91C09">
        <w:rPr>
          <w:sz w:val="16"/>
          <w:szCs w:val="16"/>
        </w:rPr>
        <w:t xml:space="preserve"> Name on card __________________</w:t>
      </w:r>
      <w:r>
        <w:rPr>
          <w:sz w:val="16"/>
          <w:szCs w:val="16"/>
        </w:rPr>
        <w:t>____________ expiry date________________________________</w:t>
      </w:r>
    </w:p>
    <w:p w14:paraId="295D5FDE" w14:textId="6482E9E4" w:rsidR="00E5309A" w:rsidRPr="00E5309A" w:rsidRDefault="00D91C09" w:rsidP="00B766B9">
      <w:pPr>
        <w:rPr>
          <w:b/>
          <w:sz w:val="16"/>
          <w:szCs w:val="16"/>
        </w:rPr>
      </w:pPr>
      <w:r w:rsidRPr="00E5309A">
        <w:rPr>
          <w:b/>
          <w:sz w:val="16"/>
          <w:szCs w:val="16"/>
        </w:rPr>
        <w:t xml:space="preserve">Cheques can be mailed to </w:t>
      </w:r>
      <w:r w:rsidR="00E5309A" w:rsidRPr="00E5309A">
        <w:rPr>
          <w:b/>
          <w:sz w:val="16"/>
          <w:szCs w:val="16"/>
        </w:rPr>
        <w:t xml:space="preserve">the New Brunswick Building Officials Association </w:t>
      </w:r>
      <w:r w:rsidRPr="00E5309A">
        <w:rPr>
          <w:b/>
          <w:sz w:val="16"/>
          <w:szCs w:val="16"/>
        </w:rPr>
        <w:t>PO box 3193 Station B Fredericton NB E3A 5G9</w:t>
      </w:r>
      <w:r w:rsidR="00E5309A" w:rsidRPr="00E5309A">
        <w:rPr>
          <w:b/>
          <w:sz w:val="16"/>
          <w:szCs w:val="16"/>
        </w:rPr>
        <w:t xml:space="preserve">; </w:t>
      </w:r>
      <w:r w:rsidR="001D1BC4">
        <w:rPr>
          <w:b/>
          <w:sz w:val="16"/>
          <w:szCs w:val="16"/>
        </w:rPr>
        <w:t xml:space="preserve">                                                                 </w:t>
      </w:r>
      <w:bookmarkStart w:id="0" w:name="_GoBack"/>
      <w:bookmarkEnd w:id="0"/>
      <w:r w:rsidR="00E5309A" w:rsidRPr="00E5309A">
        <w:rPr>
          <w:b/>
          <w:sz w:val="16"/>
          <w:szCs w:val="16"/>
        </w:rPr>
        <w:t>Call 1-800-565-7633 for rooms available at the Rodd for $125</w:t>
      </w:r>
      <w:r w:rsidR="006B5EAC">
        <w:rPr>
          <w:b/>
          <w:sz w:val="16"/>
          <w:szCs w:val="16"/>
        </w:rPr>
        <w:t xml:space="preserve"> (plus HST)</w:t>
      </w:r>
      <w:r w:rsidR="00E5309A" w:rsidRPr="00E5309A">
        <w:rPr>
          <w:b/>
          <w:sz w:val="16"/>
          <w:szCs w:val="16"/>
        </w:rPr>
        <w:t xml:space="preserve"> under NBBOA by March 23</w:t>
      </w:r>
      <w:r w:rsidR="00E5309A" w:rsidRPr="00E5309A">
        <w:rPr>
          <w:b/>
          <w:sz w:val="16"/>
          <w:szCs w:val="16"/>
          <w:vertAlign w:val="superscript"/>
        </w:rPr>
        <w:t>rd</w:t>
      </w:r>
      <w:r w:rsidR="00E5309A" w:rsidRPr="00E5309A">
        <w:rPr>
          <w:b/>
          <w:sz w:val="16"/>
          <w:szCs w:val="16"/>
        </w:rPr>
        <w:t xml:space="preserve">. </w:t>
      </w:r>
    </w:p>
    <w:sectPr w:rsidR="00E5309A" w:rsidRPr="00E5309A">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7F797" w14:textId="77777777" w:rsidR="00992995" w:rsidRDefault="00992995">
      <w:pPr>
        <w:spacing w:after="0" w:line="240" w:lineRule="auto"/>
      </w:pPr>
      <w:r>
        <w:separator/>
      </w:r>
    </w:p>
  </w:endnote>
  <w:endnote w:type="continuationSeparator" w:id="0">
    <w:p w14:paraId="7140A875" w14:textId="77777777" w:rsidR="00992995" w:rsidRDefault="00992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B9963" w14:textId="77777777" w:rsidR="00992995" w:rsidRDefault="00992995">
      <w:pPr>
        <w:spacing w:after="0" w:line="240" w:lineRule="auto"/>
      </w:pPr>
      <w:r>
        <w:separator/>
      </w:r>
    </w:p>
  </w:footnote>
  <w:footnote w:type="continuationSeparator" w:id="0">
    <w:p w14:paraId="1C8D84C1" w14:textId="77777777" w:rsidR="00992995" w:rsidRDefault="00992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A0A"/>
    <w:rsid w:val="000633C6"/>
    <w:rsid w:val="000A5561"/>
    <w:rsid w:val="001D1BC4"/>
    <w:rsid w:val="0022356E"/>
    <w:rsid w:val="002B5BAD"/>
    <w:rsid w:val="003853FC"/>
    <w:rsid w:val="003B1A0A"/>
    <w:rsid w:val="003F09D9"/>
    <w:rsid w:val="004F58ED"/>
    <w:rsid w:val="00552E3F"/>
    <w:rsid w:val="00563F9F"/>
    <w:rsid w:val="005B0E36"/>
    <w:rsid w:val="00630492"/>
    <w:rsid w:val="006B5EAC"/>
    <w:rsid w:val="006C6A93"/>
    <w:rsid w:val="006F06F5"/>
    <w:rsid w:val="00862977"/>
    <w:rsid w:val="008A72BD"/>
    <w:rsid w:val="008E1B67"/>
    <w:rsid w:val="009758F2"/>
    <w:rsid w:val="00992995"/>
    <w:rsid w:val="00B428D3"/>
    <w:rsid w:val="00B766B9"/>
    <w:rsid w:val="00D364A3"/>
    <w:rsid w:val="00D91C09"/>
    <w:rsid w:val="00E5309A"/>
    <w:rsid w:val="00FA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D46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4472C4" w:themeColor="accent1"/>
        <w:bottom w:val="single" w:sz="4" w:space="31" w:color="4472C4" w:themeColor="accent1"/>
      </w:pBdr>
      <w:shd w:val="clear" w:color="auto" w:fill="4472C4"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1F3763"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1F3763"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4472C4"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168428">
      <w:bodyDiv w:val="1"/>
      <w:marLeft w:val="0"/>
      <w:marRight w:val="0"/>
      <w:marTop w:val="0"/>
      <w:marBottom w:val="0"/>
      <w:divBdr>
        <w:top w:val="none" w:sz="0" w:space="0" w:color="auto"/>
        <w:left w:val="none" w:sz="0" w:space="0" w:color="auto"/>
        <w:bottom w:val="none" w:sz="0" w:space="0" w:color="auto"/>
        <w:right w:val="none" w:sz="0" w:space="0" w:color="auto"/>
      </w:divBdr>
    </w:div>
    <w:div w:id="167452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Advantage Brochur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969358-B140-4AD0-84C6-270E40FF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NBBOA</cp:lastModifiedBy>
  <cp:revision>10</cp:revision>
  <dcterms:created xsi:type="dcterms:W3CDTF">2018-01-22T15:25:00Z</dcterms:created>
  <dcterms:modified xsi:type="dcterms:W3CDTF">2018-01-26T19:17:00Z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